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F8D9D" w14:textId="77777777" w:rsidR="00FB3D95" w:rsidRPr="003D5A0C" w:rsidRDefault="00000000">
      <w:pPr>
        <w:spacing w:line="360" w:lineRule="auto"/>
        <w:ind w:firstLineChars="200" w:firstLine="880"/>
        <w:jc w:val="center"/>
        <w:rPr>
          <w:rFonts w:ascii="方正小标宋简体" w:eastAsia="方正小标宋简体" w:hAnsi="方正小标宋简体" w:cs="方正小标宋简体" w:hint="eastAsia"/>
          <w:color w:val="000000" w:themeColor="text1"/>
          <w:sz w:val="44"/>
          <w:szCs w:val="44"/>
        </w:rPr>
      </w:pPr>
      <w:r w:rsidRPr="003D5A0C">
        <w:rPr>
          <w:rFonts w:ascii="方正小标宋简体" w:eastAsia="方正小标宋简体" w:hAnsi="方正小标宋简体" w:cs="方正小标宋简体" w:hint="eastAsia"/>
          <w:color w:val="000000" w:themeColor="text1"/>
          <w:sz w:val="44"/>
          <w:szCs w:val="44"/>
        </w:rPr>
        <w:t>单灯控制器技术文件</w:t>
      </w:r>
    </w:p>
    <w:p w14:paraId="7C68FC3F" w14:textId="77777777" w:rsidR="00FB3D95" w:rsidRPr="003D5A0C" w:rsidRDefault="00000000">
      <w:pPr>
        <w:spacing w:line="360" w:lineRule="auto"/>
        <w:ind w:firstLineChars="200" w:firstLine="640"/>
        <w:jc w:val="left"/>
        <w:rPr>
          <w:rFonts w:ascii="宋体" w:hAnsi="宋体" w:hint="eastAsia"/>
          <w:bCs/>
          <w:color w:val="000000" w:themeColor="text1"/>
          <w:sz w:val="24"/>
        </w:rPr>
      </w:pPr>
      <w:r w:rsidRPr="003D5A0C">
        <w:rPr>
          <w:rStyle w:val="2Char1"/>
          <w:rFonts w:cstheme="minorBidi" w:hint="eastAsia"/>
          <w:b w:val="0"/>
          <w:bCs/>
          <w:color w:val="000000" w:themeColor="text1"/>
          <w:szCs w:val="32"/>
        </w:rPr>
        <w:t>一、招标内容</w:t>
      </w:r>
    </w:p>
    <w:tbl>
      <w:tblPr>
        <w:tblpPr w:leftFromText="180" w:rightFromText="180" w:vertAnchor="text" w:horzAnchor="margin" w:tblpY="115"/>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463"/>
        <w:gridCol w:w="741"/>
        <w:gridCol w:w="741"/>
        <w:gridCol w:w="741"/>
        <w:gridCol w:w="741"/>
        <w:gridCol w:w="741"/>
        <w:gridCol w:w="740"/>
        <w:gridCol w:w="735"/>
      </w:tblGrid>
      <w:tr w:rsidR="00992371" w:rsidRPr="003D5A0C" w14:paraId="1AE8916F" w14:textId="2BB7840D" w:rsidTr="00992371">
        <w:tc>
          <w:tcPr>
            <w:tcW w:w="1102" w:type="pct"/>
            <w:vAlign w:val="center"/>
          </w:tcPr>
          <w:p w14:paraId="7B20F212" w14:textId="030C22FD"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产品</w:t>
            </w:r>
            <w:r w:rsidRPr="003D5A0C">
              <w:rPr>
                <w:rFonts w:ascii="宋体" w:hAnsi="宋体" w:cs="宋体" w:hint="eastAsia"/>
                <w:bCs/>
                <w:color w:val="000000" w:themeColor="text1"/>
                <w:kern w:val="0"/>
                <w:sz w:val="32"/>
                <w:szCs w:val="32"/>
              </w:rPr>
              <w:t>名称</w:t>
            </w:r>
          </w:p>
        </w:tc>
        <w:tc>
          <w:tcPr>
            <w:tcW w:w="858" w:type="pct"/>
          </w:tcPr>
          <w:p w14:paraId="1C1DCBF1" w14:textId="18AF8438"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材料编号</w:t>
            </w:r>
          </w:p>
        </w:tc>
        <w:tc>
          <w:tcPr>
            <w:tcW w:w="435" w:type="pct"/>
            <w:vAlign w:val="center"/>
          </w:tcPr>
          <w:p w14:paraId="3EB04C5F" w14:textId="6E5709BF"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可控回路数</w:t>
            </w:r>
          </w:p>
        </w:tc>
        <w:tc>
          <w:tcPr>
            <w:tcW w:w="435" w:type="pct"/>
            <w:vAlign w:val="center"/>
          </w:tcPr>
          <w:p w14:paraId="3978F211" w14:textId="77777777"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基本功能</w:t>
            </w:r>
          </w:p>
        </w:tc>
        <w:tc>
          <w:tcPr>
            <w:tcW w:w="435" w:type="pct"/>
            <w:vAlign w:val="center"/>
          </w:tcPr>
          <w:p w14:paraId="59A1EAB8" w14:textId="77777777"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调光功能</w:t>
            </w:r>
          </w:p>
        </w:tc>
        <w:tc>
          <w:tcPr>
            <w:tcW w:w="435" w:type="pct"/>
            <w:vAlign w:val="center"/>
          </w:tcPr>
          <w:p w14:paraId="1D2E81B1" w14:textId="77777777"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漏电监测功能</w:t>
            </w:r>
          </w:p>
        </w:tc>
        <w:tc>
          <w:tcPr>
            <w:tcW w:w="435" w:type="pct"/>
          </w:tcPr>
          <w:p w14:paraId="3929FE8C" w14:textId="67E02A25"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Pr>
                <w:rFonts w:ascii="微软雅黑" w:eastAsia="微软雅黑" w:hAnsi="微软雅黑" w:cs="微软雅黑" w:hint="eastAsia"/>
                <w:bCs/>
                <w:color w:val="000000" w:themeColor="text1"/>
                <w:kern w:val="0"/>
                <w:sz w:val="32"/>
                <w:szCs w:val="32"/>
              </w:rPr>
              <w:t>数量</w:t>
            </w:r>
          </w:p>
        </w:tc>
        <w:tc>
          <w:tcPr>
            <w:tcW w:w="434" w:type="pct"/>
          </w:tcPr>
          <w:p w14:paraId="316C8F34" w14:textId="35A92CF9" w:rsidR="00992371" w:rsidRDefault="00992371" w:rsidP="009C3A80">
            <w:pPr>
              <w:spacing w:line="360" w:lineRule="auto"/>
              <w:jc w:val="left"/>
              <w:rPr>
                <w:rFonts w:ascii="微软雅黑" w:eastAsia="微软雅黑" w:hAnsi="微软雅黑" w:cs="微软雅黑" w:hint="eastAsia"/>
                <w:bCs/>
                <w:color w:val="000000" w:themeColor="text1"/>
                <w:kern w:val="0"/>
                <w:sz w:val="32"/>
                <w:szCs w:val="32"/>
              </w:rPr>
            </w:pPr>
            <w:r>
              <w:rPr>
                <w:rFonts w:ascii="微软雅黑" w:eastAsia="微软雅黑" w:hAnsi="微软雅黑" w:cs="微软雅黑" w:hint="eastAsia"/>
                <w:bCs/>
                <w:color w:val="000000" w:themeColor="text1"/>
                <w:kern w:val="0"/>
                <w:sz w:val="32"/>
                <w:szCs w:val="32"/>
              </w:rPr>
              <w:t>单位</w:t>
            </w:r>
          </w:p>
        </w:tc>
        <w:tc>
          <w:tcPr>
            <w:tcW w:w="432" w:type="pct"/>
          </w:tcPr>
          <w:p w14:paraId="3A51B28D" w14:textId="362F0DCC"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Pr>
                <w:rFonts w:ascii="微软雅黑" w:eastAsia="微软雅黑" w:hAnsi="微软雅黑" w:cs="微软雅黑" w:hint="eastAsia"/>
                <w:bCs/>
                <w:color w:val="000000" w:themeColor="text1"/>
                <w:kern w:val="0"/>
                <w:sz w:val="32"/>
                <w:szCs w:val="32"/>
              </w:rPr>
              <w:t>单价</w:t>
            </w:r>
          </w:p>
        </w:tc>
      </w:tr>
      <w:tr w:rsidR="00992371" w:rsidRPr="003D5A0C" w14:paraId="2058D6C2" w14:textId="6B3B9E2A" w:rsidTr="00992371">
        <w:tc>
          <w:tcPr>
            <w:tcW w:w="1102" w:type="pct"/>
            <w:vAlign w:val="center"/>
          </w:tcPr>
          <w:p w14:paraId="3D4EDF12" w14:textId="77777777"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单灯控制器1（4G通讯）</w:t>
            </w:r>
          </w:p>
        </w:tc>
        <w:tc>
          <w:tcPr>
            <w:tcW w:w="858" w:type="pct"/>
          </w:tcPr>
          <w:p w14:paraId="42412C25" w14:textId="7A1F92CD"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bCs/>
                <w:color w:val="000000" w:themeColor="text1"/>
                <w:kern w:val="0"/>
                <w:sz w:val="32"/>
                <w:szCs w:val="32"/>
              </w:rPr>
              <w:t>0301020201000001</w:t>
            </w:r>
          </w:p>
        </w:tc>
        <w:tc>
          <w:tcPr>
            <w:tcW w:w="435" w:type="pct"/>
            <w:vAlign w:val="center"/>
          </w:tcPr>
          <w:p w14:paraId="4BCB60A5" w14:textId="3E25913A"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1路</w:t>
            </w:r>
          </w:p>
        </w:tc>
        <w:tc>
          <w:tcPr>
            <w:tcW w:w="435" w:type="pct"/>
            <w:vAlign w:val="center"/>
          </w:tcPr>
          <w:p w14:paraId="0F6535B8" w14:textId="77777777"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w:t>
            </w:r>
          </w:p>
        </w:tc>
        <w:tc>
          <w:tcPr>
            <w:tcW w:w="435" w:type="pct"/>
            <w:vAlign w:val="center"/>
          </w:tcPr>
          <w:p w14:paraId="5149AB99" w14:textId="77777777"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w:t>
            </w:r>
          </w:p>
        </w:tc>
        <w:tc>
          <w:tcPr>
            <w:tcW w:w="435" w:type="pct"/>
            <w:vAlign w:val="center"/>
          </w:tcPr>
          <w:p w14:paraId="47668C65" w14:textId="77777777" w:rsidR="00992371" w:rsidRPr="003D5A0C" w:rsidRDefault="00992371" w:rsidP="009C3A80">
            <w:pPr>
              <w:spacing w:line="360" w:lineRule="auto"/>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w:t>
            </w:r>
          </w:p>
        </w:tc>
        <w:tc>
          <w:tcPr>
            <w:tcW w:w="435" w:type="pct"/>
          </w:tcPr>
          <w:p w14:paraId="5E1AD136" w14:textId="219C7F04" w:rsidR="00992371" w:rsidRPr="008F4BEB" w:rsidRDefault="008F4BEB" w:rsidP="009C3A80">
            <w:pPr>
              <w:spacing w:line="360" w:lineRule="auto"/>
              <w:jc w:val="left"/>
              <w:rPr>
                <w:rFonts w:ascii="Calibri" w:eastAsia="仿宋_GB2312" w:hAnsi="Calibri" w:cs="Calibri" w:hint="eastAsia"/>
                <w:bCs/>
                <w:color w:val="000000" w:themeColor="text1"/>
                <w:kern w:val="0"/>
                <w:sz w:val="32"/>
                <w:szCs w:val="32"/>
              </w:rPr>
            </w:pPr>
            <w:r>
              <w:rPr>
                <w:rFonts w:ascii="Calibri" w:eastAsia="仿宋_GB2312" w:hAnsi="Calibri" w:cs="Calibri" w:hint="eastAsia"/>
                <w:bCs/>
                <w:color w:val="000000" w:themeColor="text1"/>
                <w:kern w:val="0"/>
                <w:sz w:val="32"/>
                <w:szCs w:val="32"/>
              </w:rPr>
              <w:t>100</w:t>
            </w:r>
            <w:r w:rsidR="00CC754C">
              <w:rPr>
                <w:rFonts w:ascii="Calibri" w:eastAsia="仿宋_GB2312" w:hAnsi="Calibri" w:cs="Calibri" w:hint="eastAsia"/>
                <w:bCs/>
                <w:color w:val="000000" w:themeColor="text1"/>
                <w:kern w:val="0"/>
                <w:sz w:val="32"/>
                <w:szCs w:val="32"/>
              </w:rPr>
              <w:t>0</w:t>
            </w:r>
          </w:p>
        </w:tc>
        <w:tc>
          <w:tcPr>
            <w:tcW w:w="434" w:type="pct"/>
          </w:tcPr>
          <w:p w14:paraId="23BEF5EA" w14:textId="5229651E" w:rsidR="00992371" w:rsidRPr="003D5A0C" w:rsidRDefault="008F4BEB" w:rsidP="009C3A80">
            <w:pPr>
              <w:spacing w:line="360" w:lineRule="auto"/>
              <w:jc w:val="left"/>
              <w:rPr>
                <w:rFonts w:ascii="仿宋_GB2312" w:eastAsia="仿宋_GB2312" w:hAnsi="仿宋_GB2312" w:cs="仿宋_GB2312" w:hint="eastAsia"/>
                <w:bCs/>
                <w:color w:val="000000" w:themeColor="text1"/>
                <w:kern w:val="0"/>
                <w:sz w:val="32"/>
                <w:szCs w:val="32"/>
              </w:rPr>
            </w:pPr>
            <w:r>
              <w:rPr>
                <w:rFonts w:ascii="微软雅黑" w:eastAsia="微软雅黑" w:hAnsi="微软雅黑" w:cs="微软雅黑" w:hint="eastAsia"/>
                <w:bCs/>
                <w:color w:val="000000" w:themeColor="text1"/>
                <w:kern w:val="0"/>
                <w:sz w:val="32"/>
                <w:szCs w:val="32"/>
              </w:rPr>
              <w:t>个</w:t>
            </w:r>
          </w:p>
        </w:tc>
        <w:tc>
          <w:tcPr>
            <w:tcW w:w="432" w:type="pct"/>
          </w:tcPr>
          <w:p w14:paraId="692FB461" w14:textId="3C9E57D6" w:rsidR="00992371" w:rsidRPr="008F4BEB" w:rsidRDefault="008F4BEB" w:rsidP="009C3A80">
            <w:pPr>
              <w:spacing w:line="360" w:lineRule="auto"/>
              <w:jc w:val="left"/>
              <w:rPr>
                <w:rFonts w:ascii="Calibri" w:eastAsia="仿宋_GB2312" w:hAnsi="Calibri" w:cs="Calibri" w:hint="eastAsia"/>
                <w:bCs/>
                <w:color w:val="000000" w:themeColor="text1"/>
                <w:kern w:val="0"/>
                <w:sz w:val="32"/>
                <w:szCs w:val="32"/>
              </w:rPr>
            </w:pPr>
            <w:r>
              <w:rPr>
                <w:rFonts w:ascii="Calibri" w:eastAsia="仿宋_GB2312" w:hAnsi="Calibri" w:cs="Calibri" w:hint="eastAsia"/>
                <w:bCs/>
                <w:color w:val="000000" w:themeColor="text1"/>
                <w:kern w:val="0"/>
                <w:sz w:val="32"/>
                <w:szCs w:val="32"/>
              </w:rPr>
              <w:t>160</w:t>
            </w:r>
          </w:p>
        </w:tc>
      </w:tr>
    </w:tbl>
    <w:p w14:paraId="6796B85B" w14:textId="77777777" w:rsidR="00FB3D95" w:rsidRPr="003D5A0C" w:rsidRDefault="00000000">
      <w:pPr>
        <w:spacing w:line="360" w:lineRule="auto"/>
        <w:ind w:firstLineChars="200" w:firstLine="640"/>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注：数量按实结算。</w:t>
      </w:r>
    </w:p>
    <w:p w14:paraId="06A8030B" w14:textId="77777777" w:rsidR="00FB3D95" w:rsidRPr="003D5A0C" w:rsidRDefault="00000000">
      <w:pPr>
        <w:spacing w:line="360" w:lineRule="auto"/>
        <w:ind w:firstLineChars="200" w:firstLine="640"/>
        <w:jc w:val="left"/>
        <w:rPr>
          <w:rStyle w:val="2Char1"/>
          <w:rFonts w:cstheme="minorBidi"/>
          <w:b w:val="0"/>
          <w:bCs/>
          <w:color w:val="000000" w:themeColor="text1"/>
          <w:szCs w:val="32"/>
        </w:rPr>
      </w:pPr>
      <w:r w:rsidRPr="003D5A0C">
        <w:rPr>
          <w:rStyle w:val="2Char1"/>
          <w:rFonts w:cstheme="minorBidi" w:hint="eastAsia"/>
          <w:b w:val="0"/>
          <w:bCs/>
          <w:color w:val="000000" w:themeColor="text1"/>
          <w:szCs w:val="32"/>
        </w:rPr>
        <w:t>二、技术要求</w:t>
      </w:r>
    </w:p>
    <w:p w14:paraId="4F65EDCF" w14:textId="77777777" w:rsidR="00FB3D95" w:rsidRPr="003D5A0C" w:rsidRDefault="00000000">
      <w:pPr>
        <w:numPr>
          <w:ilvl w:val="0"/>
          <w:numId w:val="1"/>
        </w:numPr>
        <w:spacing w:line="360" w:lineRule="auto"/>
        <w:ind w:firstLineChars="200" w:firstLine="640"/>
        <w:jc w:val="left"/>
        <w:rPr>
          <w:rFonts w:ascii="楷体" w:eastAsia="楷体" w:hAnsi="楷体" w:cs="楷体" w:hint="eastAsia"/>
          <w:color w:val="000000" w:themeColor="text1"/>
          <w:sz w:val="32"/>
          <w:szCs w:val="32"/>
        </w:rPr>
      </w:pPr>
      <w:bookmarkStart w:id="0" w:name="OLE_LINK34"/>
      <w:r w:rsidRPr="003D5A0C">
        <w:rPr>
          <w:rFonts w:ascii="楷体" w:eastAsia="楷体" w:hAnsi="楷体" w:cs="楷体" w:hint="eastAsia"/>
          <w:color w:val="000000" w:themeColor="text1"/>
          <w:sz w:val="32"/>
          <w:szCs w:val="32"/>
        </w:rPr>
        <w:t>一般要求：</w:t>
      </w:r>
    </w:p>
    <w:p w14:paraId="26408F3E" w14:textId="77777777" w:rsidR="00FB3D95" w:rsidRPr="003D5A0C" w:rsidRDefault="00000000">
      <w:pPr>
        <w:spacing w:line="360" w:lineRule="auto"/>
        <w:ind w:firstLineChars="200" w:firstLine="640"/>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单灯控制器要求支持4G-Cat.1通信传输方式。单灯控制器需提供完整的灯杆内或箱内安装附件，应包含单灯控制器、配电面板（具体尺寸按招标方要求深化）、对应灯数独立保护的熔断器及一切其他可能的所必备的附件。</w:t>
      </w:r>
    </w:p>
    <w:p w14:paraId="0F3FD271" w14:textId="77777777" w:rsidR="00FB3D95" w:rsidRPr="003D5A0C" w:rsidRDefault="00000000">
      <w:pPr>
        <w:spacing w:line="360" w:lineRule="auto"/>
        <w:ind w:firstLineChars="200" w:firstLine="640"/>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1.投标时需满足以下要求</w:t>
      </w:r>
    </w:p>
    <w:bookmarkEnd w:id="0"/>
    <w:p w14:paraId="284E25D2"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bCs/>
          <w:color w:val="000000" w:themeColor="text1"/>
          <w:sz w:val="32"/>
          <w:szCs w:val="32"/>
        </w:rPr>
      </w:pPr>
      <w:r w:rsidRPr="003D5A0C">
        <w:rPr>
          <w:rFonts w:ascii="仿宋_GB2312" w:eastAsia="仿宋_GB2312" w:hAnsi="仿宋_GB2312" w:cs="仿宋_GB2312" w:hint="eastAsia"/>
          <w:bCs/>
          <w:color w:val="000000" w:themeColor="text1"/>
          <w:kern w:val="0"/>
          <w:sz w:val="32"/>
          <w:szCs w:val="32"/>
        </w:rPr>
        <w:t>（1）投标人应提供由</w:t>
      </w:r>
      <w:r w:rsidRPr="003D5A0C">
        <w:rPr>
          <w:rFonts w:ascii="仿宋_GB2312" w:eastAsia="仿宋_GB2312" w:hAnsi="仿宋_GB2312" w:cs="仿宋_GB2312" w:hint="eastAsia"/>
          <w:bCs/>
          <w:color w:val="000000" w:themeColor="text1"/>
          <w:sz w:val="32"/>
          <w:szCs w:val="32"/>
        </w:rPr>
        <w:t>国家级权威机构出具的</w:t>
      </w:r>
      <w:r w:rsidRPr="003D5A0C">
        <w:rPr>
          <w:rFonts w:ascii="仿宋_GB2312" w:eastAsia="仿宋_GB2312" w:hAnsi="仿宋_GB2312" w:cs="仿宋_GB2312" w:hint="eastAsia"/>
          <w:bCs/>
          <w:color w:val="000000" w:themeColor="text1"/>
          <w:kern w:val="0"/>
          <w:sz w:val="32"/>
          <w:szCs w:val="32"/>
        </w:rPr>
        <w:t>合格的</w:t>
      </w:r>
      <w:r w:rsidRPr="003D5A0C">
        <w:rPr>
          <w:rFonts w:ascii="仿宋_GB2312" w:eastAsia="仿宋_GB2312" w:hAnsi="仿宋_GB2312" w:cs="仿宋_GB2312" w:hint="eastAsia"/>
          <w:bCs/>
          <w:color w:val="000000" w:themeColor="text1"/>
          <w:sz w:val="32"/>
          <w:szCs w:val="32"/>
        </w:rPr>
        <w:t>电气安全性能指标的检测报告</w:t>
      </w:r>
      <w:r w:rsidRPr="003D5A0C">
        <w:rPr>
          <w:rFonts w:ascii="仿宋_GB2312" w:eastAsia="仿宋_GB2312" w:hAnsi="仿宋_GB2312" w:cs="仿宋_GB2312" w:hint="eastAsia"/>
          <w:bCs/>
          <w:color w:val="000000" w:themeColor="text1"/>
          <w:kern w:val="0"/>
          <w:sz w:val="32"/>
          <w:szCs w:val="32"/>
        </w:rPr>
        <w:t>。</w:t>
      </w:r>
    </w:p>
    <w:p w14:paraId="7EFF69DE"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lastRenderedPageBreak/>
        <w:t>（2）投标人应提供常州市范围内通信运营商出具的投标样灯使用4G-Cat.1通信方式和能力的证明函。</w:t>
      </w:r>
    </w:p>
    <w:p w14:paraId="692E99B1"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2.中标后检测</w:t>
      </w:r>
    </w:p>
    <w:p w14:paraId="17F3ECC8"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（1）项目中标后，在供货阶段，招标人将随机抽取单灯控制器，送至国家级权威机构检进行电气安全性能指标检测，所测指标必须满足采购文件内的技术要求以及相关标准等。</w:t>
      </w:r>
    </w:p>
    <w:p w14:paraId="115D0651" w14:textId="77777777" w:rsidR="00FB3D95" w:rsidRPr="003D5A0C" w:rsidRDefault="00000000">
      <w:pPr>
        <w:spacing w:line="360" w:lineRule="auto"/>
        <w:ind w:firstLineChars="200" w:firstLine="640"/>
        <w:rPr>
          <w:rFonts w:ascii="仿宋_GB2312" w:eastAsia="仿宋_GB2312" w:hAnsi="仿宋_GB2312" w:cs="仿宋_GB2312" w:hint="eastAsia"/>
          <w:bCs/>
          <w:color w:val="000000" w:themeColor="text1"/>
          <w:sz w:val="32"/>
          <w:szCs w:val="32"/>
        </w:rPr>
      </w:pPr>
      <w:r w:rsidRPr="003D5A0C">
        <w:rPr>
          <w:rFonts w:ascii="仿宋_GB2312" w:eastAsia="仿宋_GB2312" w:hAnsi="仿宋_GB2312" w:cs="仿宋_GB2312" w:hint="eastAsia"/>
          <w:bCs/>
          <w:color w:val="000000" w:themeColor="text1"/>
          <w:sz w:val="32"/>
          <w:szCs w:val="32"/>
        </w:rPr>
        <w:t>（2）由招标人组织对单灯控制器</w:t>
      </w:r>
      <w:r w:rsidRPr="003D5A0C">
        <w:rPr>
          <w:rFonts w:ascii="仿宋_GB2312" w:eastAsia="仿宋_GB2312" w:hAnsi="仿宋_GB2312" w:cs="仿宋_GB2312" w:hint="eastAsia"/>
          <w:bCs/>
          <w:color w:val="000000" w:themeColor="text1"/>
          <w:kern w:val="0"/>
          <w:sz w:val="32"/>
          <w:szCs w:val="32"/>
        </w:rPr>
        <w:t>4G-Cat.1</w:t>
      </w:r>
      <w:r w:rsidRPr="003D5A0C">
        <w:rPr>
          <w:rFonts w:ascii="仿宋_GB2312" w:eastAsia="仿宋_GB2312" w:hAnsi="仿宋_GB2312" w:cs="仿宋_GB2312" w:hint="eastAsia"/>
          <w:bCs/>
          <w:color w:val="000000" w:themeColor="text1"/>
          <w:sz w:val="32"/>
          <w:szCs w:val="32"/>
        </w:rPr>
        <w:t>的通信能力进行复试。</w:t>
      </w:r>
    </w:p>
    <w:p w14:paraId="331633DB"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kern w:val="0"/>
          <w:sz w:val="32"/>
          <w:szCs w:val="32"/>
        </w:rPr>
        <w:t>（3）投标产品需对接</w:t>
      </w:r>
      <w:r w:rsidRPr="003D5A0C">
        <w:rPr>
          <w:rFonts w:ascii="仿宋_GB2312" w:eastAsia="仿宋_GB2312" w:hAnsi="仿宋_GB2312" w:cs="仿宋_GB2312" w:hint="eastAsia"/>
          <w:color w:val="000000" w:themeColor="text1"/>
          <w:sz w:val="32"/>
          <w:szCs w:val="32"/>
        </w:rPr>
        <w:t>招标方指定的城市照明单灯控制平台，应通过通信协议的符合性测试。</w:t>
      </w:r>
    </w:p>
    <w:p w14:paraId="4BE3A2C6"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（4）投标产品在通电运行，登陆到</w:t>
      </w:r>
      <w:r w:rsidRPr="003D5A0C">
        <w:rPr>
          <w:rFonts w:ascii="仿宋_GB2312" w:eastAsia="仿宋_GB2312" w:hAnsi="仿宋_GB2312" w:cs="仿宋_GB2312" w:hint="eastAsia"/>
          <w:color w:val="000000" w:themeColor="text1"/>
          <w:sz w:val="32"/>
          <w:szCs w:val="32"/>
        </w:rPr>
        <w:t>单灯控制平台</w:t>
      </w:r>
      <w:r w:rsidRPr="003D5A0C">
        <w:rPr>
          <w:rFonts w:ascii="仿宋_GB2312" w:eastAsia="仿宋_GB2312" w:hAnsi="仿宋_GB2312" w:cs="仿宋_GB2312" w:hint="eastAsia"/>
          <w:color w:val="000000" w:themeColor="text1"/>
          <w:kern w:val="0"/>
          <w:sz w:val="32"/>
          <w:szCs w:val="32"/>
        </w:rPr>
        <w:t>后，应保持自身运行状态，在没有自主发起对平台的通信前提下，在任意时间内，可接受平台的控制、查询和</w:t>
      </w:r>
      <w:r w:rsidRPr="003D5A0C">
        <w:rPr>
          <w:rFonts w:ascii="仿宋_GB2312" w:eastAsia="仿宋_GB2312" w:hAnsi="仿宋_GB2312" w:cs="仿宋_GB2312" w:hint="eastAsia"/>
          <w:bCs/>
          <w:color w:val="000000" w:themeColor="text1"/>
          <w:kern w:val="0"/>
          <w:sz w:val="32"/>
          <w:szCs w:val="32"/>
        </w:rPr>
        <w:t>策略配置等测试，同时要求中标单位提供5套单灯控制器，并接受全面测试。</w:t>
      </w:r>
    </w:p>
    <w:p w14:paraId="1878954F" w14:textId="77777777" w:rsidR="00FB3D95" w:rsidRPr="003D5A0C" w:rsidRDefault="00000000">
      <w:pPr>
        <w:spacing w:line="360" w:lineRule="auto"/>
        <w:ind w:firstLineChars="200" w:firstLine="640"/>
        <w:rPr>
          <w:rFonts w:ascii="仿宋_GB2312" w:eastAsia="仿宋_GB2312" w:hAnsi="仿宋_GB2312" w:cs="仿宋_GB2312" w:hint="eastAsia"/>
          <w:bCs/>
          <w:color w:val="000000" w:themeColor="text1"/>
          <w:sz w:val="32"/>
          <w:szCs w:val="32"/>
        </w:rPr>
      </w:pPr>
      <w:r w:rsidRPr="003D5A0C">
        <w:rPr>
          <w:rFonts w:ascii="仿宋_GB2312" w:eastAsia="仿宋_GB2312" w:hAnsi="仿宋_GB2312" w:cs="仿宋_GB2312" w:hint="eastAsia"/>
          <w:bCs/>
          <w:color w:val="000000" w:themeColor="text1"/>
          <w:sz w:val="32"/>
          <w:szCs w:val="32"/>
        </w:rPr>
        <w:t>（5）检测不合格的单灯控制器由中标人全部更换成合格产品并重新检测且承担相关费用，若第二次检测不合格则解除合同。</w:t>
      </w:r>
    </w:p>
    <w:p w14:paraId="2E88058F" w14:textId="77777777" w:rsidR="00FB3D95" w:rsidRPr="003D5A0C" w:rsidRDefault="00000000">
      <w:pPr>
        <w:numPr>
          <w:ilvl w:val="0"/>
          <w:numId w:val="1"/>
        </w:numPr>
        <w:spacing w:line="360" w:lineRule="auto"/>
        <w:ind w:firstLineChars="200" w:firstLine="640"/>
        <w:jc w:val="left"/>
        <w:rPr>
          <w:rFonts w:ascii="楷体" w:eastAsia="楷体" w:hAnsi="楷体" w:cs="楷体" w:hint="eastAsia"/>
          <w:color w:val="000000" w:themeColor="text1"/>
          <w:sz w:val="32"/>
          <w:szCs w:val="32"/>
        </w:rPr>
      </w:pPr>
      <w:bookmarkStart w:id="1" w:name="_Toc26598"/>
      <w:bookmarkStart w:id="2" w:name="_Toc2928"/>
      <w:r w:rsidRPr="003D5A0C">
        <w:rPr>
          <w:rFonts w:ascii="楷体" w:eastAsia="楷体" w:hAnsi="楷体" w:cs="楷体" w:hint="eastAsia"/>
          <w:color w:val="000000" w:themeColor="text1"/>
          <w:sz w:val="32"/>
          <w:szCs w:val="32"/>
        </w:rPr>
        <w:t>技术参数要求：</w:t>
      </w:r>
    </w:p>
    <w:p w14:paraId="6E48EE5A" w14:textId="77777777" w:rsidR="00FB3D95" w:rsidRPr="003D5A0C" w:rsidRDefault="00000000">
      <w:pPr>
        <w:spacing w:line="360" w:lineRule="auto"/>
        <w:ind w:firstLineChars="200" w:firstLine="640"/>
        <w:rPr>
          <w:rFonts w:ascii="仿宋_GB2312" w:eastAsia="仿宋_GB2312" w:hAnsi="仿宋_GB2312" w:cs="仿宋_GB2312" w:hint="eastAsia"/>
          <w:bCs/>
          <w:color w:val="000000" w:themeColor="text1"/>
          <w:sz w:val="32"/>
          <w:szCs w:val="32"/>
        </w:rPr>
      </w:pPr>
      <w:r w:rsidRPr="003D5A0C">
        <w:rPr>
          <w:rFonts w:ascii="仿宋_GB2312" w:eastAsia="仿宋_GB2312" w:hAnsi="仿宋_GB2312" w:cs="仿宋_GB2312" w:hint="eastAsia"/>
          <w:bCs/>
          <w:color w:val="000000" w:themeColor="text1"/>
          <w:sz w:val="32"/>
          <w:szCs w:val="32"/>
        </w:rPr>
        <w:t>1.通用要求</w:t>
      </w:r>
      <w:bookmarkEnd w:id="1"/>
      <w:bookmarkEnd w:id="2"/>
    </w:p>
    <w:p w14:paraId="0E1646C1"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1.1 提供单灯控制器安装说明书及接线图。</w:t>
      </w:r>
    </w:p>
    <w:p w14:paraId="1B5FDD22"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1.2 单灯控制器应包含一切所必备的附件。</w:t>
      </w:r>
    </w:p>
    <w:p w14:paraId="0C9900C0"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lastRenderedPageBreak/>
        <w:t>1.3 单灯控制器质保五年。</w:t>
      </w:r>
    </w:p>
    <w:p w14:paraId="24A94930"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1.4 除特殊要求外，尺寸公差按照GB-T1804-2000的精度M级别标准执行，其中安装公差和位置公差按照精度F级别标准执行。</w:t>
      </w:r>
    </w:p>
    <w:p w14:paraId="4609B2A4"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sz w:val="32"/>
          <w:szCs w:val="32"/>
        </w:rPr>
        <w:t>1.</w:t>
      </w:r>
      <w:bookmarkStart w:id="3" w:name="_Toc29393"/>
      <w:r w:rsidRPr="003D5A0C">
        <w:rPr>
          <w:rFonts w:ascii="仿宋_GB2312" w:eastAsia="仿宋_GB2312" w:hAnsi="仿宋_GB2312" w:cs="仿宋_GB2312" w:hint="eastAsia"/>
          <w:color w:val="000000" w:themeColor="text1"/>
          <w:sz w:val="32"/>
          <w:szCs w:val="32"/>
        </w:rPr>
        <w:t>5必须符合的各类标准</w:t>
      </w:r>
      <w:bookmarkEnd w:id="3"/>
      <w:r w:rsidRPr="003D5A0C">
        <w:rPr>
          <w:rFonts w:ascii="仿宋_GB2312" w:eastAsia="仿宋_GB2312" w:hAnsi="仿宋_GB2312" w:cs="仿宋_GB2312" w:hint="eastAsia"/>
          <w:color w:val="000000" w:themeColor="text1"/>
          <w:sz w:val="32"/>
          <w:szCs w:val="32"/>
        </w:rPr>
        <w:t>：（单灯控制器必须符合下列文件中的条款，凡是不注日期的引用文件，其最新版本适用于本标准。）</w:t>
      </w:r>
    </w:p>
    <w:p w14:paraId="62312A5B"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GB/T 2421电工电子产品环境试验第1部分：总则</w:t>
      </w:r>
    </w:p>
    <w:p w14:paraId="6C3375A2"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GB/T 2423 电工电子产品环境试验第2部分：试验方法</w:t>
      </w:r>
    </w:p>
    <w:p w14:paraId="1E971C68"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GB/T 4208外壳防护等级（IP 代码）</w:t>
      </w:r>
    </w:p>
    <w:p w14:paraId="780C1556"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GB/T 13729远动终端设备</w:t>
      </w:r>
    </w:p>
    <w:p w14:paraId="74E16C67"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CJJ/T 227城市照明自动控制系统技术规范</w:t>
      </w:r>
    </w:p>
    <w:p w14:paraId="0FFD1426" w14:textId="77777777" w:rsidR="00FB3D95" w:rsidRPr="003D5A0C" w:rsidRDefault="00000000">
      <w:pPr>
        <w:spacing w:line="360" w:lineRule="auto"/>
        <w:ind w:firstLineChars="200" w:firstLine="640"/>
        <w:rPr>
          <w:rFonts w:ascii="仿宋_GB2312" w:eastAsia="仿宋_GB2312" w:hAnsi="仿宋_GB2312" w:cs="仿宋_GB2312" w:hint="eastAsia"/>
          <w:bCs/>
          <w:color w:val="000000" w:themeColor="text1"/>
          <w:sz w:val="32"/>
          <w:szCs w:val="32"/>
        </w:rPr>
      </w:pPr>
      <w:r w:rsidRPr="003D5A0C">
        <w:rPr>
          <w:rFonts w:ascii="仿宋_GB2312" w:eastAsia="仿宋_GB2312" w:hAnsi="仿宋_GB2312" w:cs="仿宋_GB2312" w:hint="eastAsia"/>
          <w:bCs/>
          <w:color w:val="000000" w:themeColor="text1"/>
          <w:sz w:val="32"/>
          <w:szCs w:val="32"/>
        </w:rPr>
        <w:t>2.安全要求</w:t>
      </w:r>
    </w:p>
    <w:p w14:paraId="7C02B59B"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bookmarkStart w:id="4" w:name="_Toc4423"/>
      <w:bookmarkStart w:id="5" w:name="_Toc18494"/>
      <w:r w:rsidRPr="003D5A0C">
        <w:rPr>
          <w:rFonts w:ascii="仿宋_GB2312" w:eastAsia="仿宋_GB2312" w:hAnsi="仿宋_GB2312" w:cs="仿宋_GB2312" w:hint="eastAsia"/>
          <w:color w:val="000000" w:themeColor="text1"/>
          <w:sz w:val="32"/>
          <w:szCs w:val="32"/>
        </w:rPr>
        <w:t>2.1 单灯控制器应符合相关现行标准的要求。</w:t>
      </w:r>
      <w:bookmarkEnd w:id="4"/>
      <w:bookmarkEnd w:id="5"/>
    </w:p>
    <w:p w14:paraId="18601428"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bookmarkStart w:id="6" w:name="_Toc20566"/>
      <w:bookmarkStart w:id="7" w:name="_Toc29541"/>
      <w:r w:rsidRPr="003D5A0C">
        <w:rPr>
          <w:rFonts w:ascii="仿宋_GB2312" w:eastAsia="仿宋_GB2312" w:hAnsi="仿宋_GB2312" w:cs="仿宋_GB2312" w:hint="eastAsia"/>
          <w:color w:val="000000" w:themeColor="text1"/>
          <w:sz w:val="32"/>
          <w:szCs w:val="32"/>
        </w:rPr>
        <w:t xml:space="preserve">2.2 </w:t>
      </w:r>
      <w:bookmarkEnd w:id="6"/>
      <w:bookmarkEnd w:id="7"/>
      <w:r w:rsidRPr="003D5A0C">
        <w:rPr>
          <w:rFonts w:ascii="仿宋_GB2312" w:eastAsia="仿宋_GB2312" w:hAnsi="仿宋_GB2312" w:cs="仿宋_GB2312" w:hint="eastAsia"/>
          <w:color w:val="000000" w:themeColor="text1"/>
          <w:sz w:val="32"/>
          <w:szCs w:val="32"/>
        </w:rPr>
        <w:t>单灯控制器尺寸应满足下列要求（不含天线）：</w:t>
      </w:r>
    </w:p>
    <w:p w14:paraId="200C9752" w14:textId="77777777" w:rsidR="00FB3D95" w:rsidRPr="003D5A0C" w:rsidRDefault="00000000">
      <w:pPr>
        <w:spacing w:line="360" w:lineRule="auto"/>
        <w:ind w:firstLineChars="200" w:firstLine="640"/>
        <w:rPr>
          <w:rFonts w:ascii="仿宋_GB2312" w:eastAsia="仿宋_GB2312" w:hAnsi="仿宋_GB2312" w:cs="仿宋_GB2312" w:hint="eastAsia"/>
          <w:b/>
          <w:bCs/>
          <w:color w:val="000000" w:themeColor="text1"/>
          <w:sz w:val="32"/>
          <w:szCs w:val="32"/>
        </w:rPr>
      </w:pPr>
      <w:r w:rsidRPr="003D5A0C">
        <w:rPr>
          <w:rFonts w:ascii="仿宋_GB2312" w:eastAsia="仿宋_GB2312" w:hAnsi="仿宋_GB2312" w:cs="仿宋_GB2312" w:hint="eastAsia"/>
          <w:color w:val="000000" w:themeColor="text1"/>
          <w:sz w:val="32"/>
          <w:szCs w:val="32"/>
        </w:rPr>
        <w:t>长度≤140mm、宽度≤65mm、厚度≤40mm，应能在现有灯杆内或箱内安装，需满足采购方安装要求。</w:t>
      </w:r>
    </w:p>
    <w:p w14:paraId="4D9FD5ED"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2.3单灯控制器所采用的电线(缆)和其他电子部件均应符合相应的国家标准或行业标准的规定要求。</w:t>
      </w:r>
    </w:p>
    <w:p w14:paraId="02E1B4BF"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2.4单灯控制器的外壳应有足够的强度，外物撞击造成的变形不应影响其正常工作；</w:t>
      </w:r>
    </w:p>
    <w:p w14:paraId="6F711125"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lastRenderedPageBreak/>
        <w:t>2.5单灯控制器外壳采用的非金属材料应符合GB/T 5169.11-2006的阻燃要求。</w:t>
      </w:r>
    </w:p>
    <w:p w14:paraId="59ADD589"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2.6单灯控制器的外部构件应用不锈钢、铝合金等制成。</w:t>
      </w:r>
    </w:p>
    <w:p w14:paraId="02EAEC1D"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2.7单灯控制器应有符合国家相关标准的接线标识（L、N、PE），外部接线和内部接线穿过硬质材料时应有保护措施。</w:t>
      </w:r>
    </w:p>
    <w:p w14:paraId="1E7112D0"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2.8电磁兼容等要求</w:t>
      </w:r>
    </w:p>
    <w:p w14:paraId="4DD2E57B"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（1）单灯控制器的无线电骚扰特性应符合GB 17743的要求。</w:t>
      </w:r>
    </w:p>
    <w:p w14:paraId="529365B0"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（2）单灯控制器的静电放电抗扰度、射频电磁场辐射抗扰度、电快速瞬变脉冲群抗扰度、浪涌（冲击）抗扰度和工频磁场抗扰度应符合GB/T 17626-2019的4级要求。</w:t>
      </w:r>
    </w:p>
    <w:p w14:paraId="7DC94573" w14:textId="77777777" w:rsidR="00FB3D95" w:rsidRPr="003D5A0C" w:rsidRDefault="00000000">
      <w:pPr>
        <w:spacing w:line="360" w:lineRule="auto"/>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（3）单灯控制器的输入电流谐波应符合GB l7625.1的要求。</w:t>
      </w:r>
    </w:p>
    <w:p w14:paraId="02DC689E"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 xml:space="preserve">2.9单灯控制器在下列条件下应能正常工作： </w:t>
      </w:r>
    </w:p>
    <w:p w14:paraId="21E76E5E"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（1）工作电压：AC220V，电压波动范围：-20%～+20%。</w:t>
      </w:r>
    </w:p>
    <w:p w14:paraId="22B14489"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（2）大气压力：80~106kPa（海拔4000m及以下）；</w:t>
      </w:r>
    </w:p>
    <w:p w14:paraId="6A81F080"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bCs/>
          <w:color w:val="000000" w:themeColor="text1"/>
          <w:kern w:val="0"/>
          <w:sz w:val="32"/>
          <w:szCs w:val="32"/>
        </w:rPr>
      </w:pPr>
      <w:r w:rsidRPr="003D5A0C">
        <w:rPr>
          <w:rFonts w:ascii="仿宋_GB2312" w:eastAsia="仿宋_GB2312" w:hAnsi="仿宋_GB2312" w:cs="仿宋_GB2312" w:hint="eastAsia"/>
          <w:bCs/>
          <w:color w:val="000000" w:themeColor="text1"/>
          <w:kern w:val="0"/>
          <w:sz w:val="32"/>
          <w:szCs w:val="32"/>
        </w:rPr>
        <w:t>（3）工作温度: -35°C 到 +65°C</w:t>
      </w:r>
      <w:r w:rsidRPr="003D5A0C">
        <w:rPr>
          <w:rFonts w:ascii="仿宋_GB2312" w:eastAsia="仿宋_GB2312" w:hAnsi="仿宋_GB2312" w:cs="仿宋_GB2312" w:hint="eastAsia"/>
          <w:color w:val="000000" w:themeColor="text1"/>
          <w:kern w:val="0"/>
          <w:sz w:val="32"/>
          <w:szCs w:val="32"/>
        </w:rPr>
        <w:t>；</w:t>
      </w:r>
    </w:p>
    <w:p w14:paraId="70F4A4BF"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（4）工作湿度: 20~95﹪（非冷凝）；</w:t>
      </w:r>
    </w:p>
    <w:p w14:paraId="14446C26"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2.10单灯控制器防护等级应不低于IP68。</w:t>
      </w:r>
    </w:p>
    <w:p w14:paraId="6B65BD87"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2.11电器绝缘等级：Class I。</w:t>
      </w:r>
    </w:p>
    <w:p w14:paraId="76075EB1"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2.12 单灯控制器的浪涌防护等级应不小于3级，共模抗浪涌电压不应低于2KV。</w:t>
      </w:r>
    </w:p>
    <w:p w14:paraId="5CBB2082" w14:textId="77777777" w:rsidR="00FB3D95" w:rsidRPr="003D5A0C" w:rsidRDefault="00000000">
      <w:pPr>
        <w:spacing w:line="360" w:lineRule="auto"/>
        <w:ind w:firstLineChars="200" w:firstLine="640"/>
        <w:rPr>
          <w:rFonts w:ascii="仿宋_GB2312" w:eastAsia="仿宋_GB2312" w:hAnsi="仿宋_GB2312" w:cs="仿宋_GB2312" w:hint="eastAsia"/>
          <w:bCs/>
          <w:color w:val="000000" w:themeColor="text1"/>
          <w:sz w:val="32"/>
          <w:szCs w:val="32"/>
        </w:rPr>
      </w:pPr>
      <w:r w:rsidRPr="003D5A0C">
        <w:rPr>
          <w:rFonts w:ascii="仿宋_GB2312" w:eastAsia="仿宋_GB2312" w:hAnsi="仿宋_GB2312" w:cs="仿宋_GB2312" w:hint="eastAsia"/>
          <w:bCs/>
          <w:color w:val="000000" w:themeColor="text1"/>
          <w:sz w:val="32"/>
          <w:szCs w:val="32"/>
        </w:rPr>
        <w:lastRenderedPageBreak/>
        <w:t>3.性能要求</w:t>
      </w:r>
    </w:p>
    <w:p w14:paraId="31DB8048"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3.1单灯控制器应能纳入招标方指定的单灯控制平台并接受管理。</w:t>
      </w:r>
    </w:p>
    <w:p w14:paraId="5F182E88"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3.2单灯控制器应满足招标方的单灯控制器(终端控制器）接口通信协议规约的要求（详见附件）；</w:t>
      </w:r>
    </w:p>
    <w:p w14:paraId="6900DBA7" w14:textId="77777777" w:rsidR="00FB3D95" w:rsidRPr="003D5A0C" w:rsidRDefault="00000000">
      <w:pPr>
        <w:pStyle w:val="Default"/>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3.3 单灯控制在线率应不小于99%，投标人需提供书面承诺。</w:t>
      </w:r>
    </w:p>
    <w:p w14:paraId="55EB5F13" w14:textId="77777777" w:rsidR="00FB3D95" w:rsidRPr="003D5A0C" w:rsidRDefault="00000000">
      <w:pPr>
        <w:pStyle w:val="Default"/>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3.4功耗：有功功耗≤3W；视在功耗≤5VA；</w:t>
      </w:r>
    </w:p>
    <w:p w14:paraId="18ED98C1" w14:textId="77777777" w:rsidR="00FB3D95" w:rsidRPr="003D5A0C" w:rsidRDefault="00000000">
      <w:pPr>
        <w:pStyle w:val="Default"/>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3.5 MTBF：≥50000小时（平均无故障工作时间）；</w:t>
      </w:r>
    </w:p>
    <w:p w14:paraId="5F87E718" w14:textId="77777777" w:rsidR="00FB3D95" w:rsidRPr="003D5A0C" w:rsidRDefault="00000000">
      <w:pPr>
        <w:pStyle w:val="Default"/>
        <w:ind w:firstLineChars="200" w:firstLine="640"/>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3.6计量精度：有功1级，无功2级；</w:t>
      </w:r>
    </w:p>
    <w:p w14:paraId="062605B0"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3.7单灯控制器应采用4G通信方式（具体方式由招标单位的订单确认），同时包括：</w:t>
      </w:r>
    </w:p>
    <w:p w14:paraId="352E95ED"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（1）采用常州市范围内通信运营商eSIM卡。</w:t>
      </w:r>
    </w:p>
    <w:p w14:paraId="7DC61661"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（2）在质保期（5年）内，eSIM卡的通信资费由中标人负责，中标人需承诺在中标后向甲方提供与运营商签订的5年期通信资费协议，同时协议内需明确卡超过套餐流量不停机继续可用。</w:t>
      </w:r>
    </w:p>
    <w:p w14:paraId="2D696E1B"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 数据流量应满足不小于30S/次的通信频次，且同时保证发生故障时的实时告警数据传输。</w:t>
      </w:r>
    </w:p>
    <w:p w14:paraId="4A20BD38"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3.8单灯控制器与平台主动通信时，应按配置的延时时间执行延迟操作，延迟时间可接受平台的配置。</w:t>
      </w:r>
    </w:p>
    <w:p w14:paraId="7B012ADE"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lastRenderedPageBreak/>
        <w:t>3.9单灯控制器在运行期间，应能够随时接受平台的配置、查询或者控制；应能够在发现故障（按设定）的情况下，主动向平台实时报警。</w:t>
      </w:r>
    </w:p>
    <w:p w14:paraId="77201291"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3.10设备与平台失去通讯时，不应影响灯具正常照明，单灯控制器应按配置方案自主运行。</w:t>
      </w:r>
    </w:p>
    <w:p w14:paraId="000DC547"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3.11单灯控制器应贴有二维码，二维码信息应包括灯具信息（编号、型号、功率、品牌、调光方案等）、单灯控制器信息（地址、编号、类型、品牌、ICCID号、IMEI号、IMSI号等）及灯杆信息（经纬度、灯杆编号、灯杆类型等）。</w:t>
      </w:r>
    </w:p>
    <w:p w14:paraId="6A085B47"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3.12单灯控制器安装后的单灯定位、系统录入及调试工作由招标人负责。</w:t>
      </w:r>
    </w:p>
    <w:p w14:paraId="1D1E23BF"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3.13单灯控制器在自身故障的情况下应不会导致光源、电器的损坏。</w:t>
      </w:r>
    </w:p>
    <w:p w14:paraId="41EF6613"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3.14单灯控制器应能在灯杆内或接线箱内安装，应采用内置天线，且应保证通讯质量满足招标文件要求。</w:t>
      </w:r>
    </w:p>
    <w:p w14:paraId="37A28882"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3.15实时控制时，4G-Cat.1单灯控制器与路灯控制中心通信响应时间应小于15s，4G模式单灯控制器与路灯控制中心通信应能实时响应。数据查询响应时间＜5S,报警信息主动上报时间＜5S；</w:t>
      </w:r>
    </w:p>
    <w:p w14:paraId="01100AA8"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3.16通电之后，4G-Cat.1单灯控制器应满足在10s之内上线的要求，4G模式单灯控制器应能保持在线。且控制器时钟精度：24h时钟误差≤1s；</w:t>
      </w:r>
    </w:p>
    <w:p w14:paraId="226518E8"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lastRenderedPageBreak/>
        <w:t>3.17单灯控制器应满足在壁厚6mm、Q235材质的灯杆内安装时通讯信号畅通，同时应满足在壁厚5mm、Q235材质的接线箱内安装时通讯信号畅通。</w:t>
      </w:r>
    </w:p>
    <w:p w14:paraId="422FCB3B"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3.18实时控制指令不得影响设备每日自主调光任务的执行(例:设备已配置每晚21:00执行30%调光任务，当在21:00之前收到了实时控制指令开关调光后，不得取消当晚21:00的30%调光任务)。</w:t>
      </w:r>
    </w:p>
    <w:p w14:paraId="7CC38989"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4.功能要求</w:t>
      </w:r>
    </w:p>
    <w:p w14:paraId="3AC94B33"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4.1基本功能</w:t>
      </w:r>
    </w:p>
    <w:p w14:paraId="1B47F812" w14:textId="77777777" w:rsidR="00FB3D95" w:rsidRPr="003D5A0C" w:rsidRDefault="00000000">
      <w:pPr>
        <w:snapToGrid w:val="0"/>
        <w:spacing w:line="570" w:lineRule="exact"/>
        <w:ind w:firstLineChars="200" w:firstLine="640"/>
        <w:jc w:val="left"/>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（1）灯具在得电运行时，应处在缺省亮灯状态；单灯控制器故障不影响亮灯。具有电源/运行、通信和开关量输出的工作状态指示的功能。</w:t>
      </w:r>
    </w:p>
    <w:p w14:paraId="13AE2C33"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应具有对所管辖的照明灯具进行按配置自主控制（周期性按需开、关灯）功能和平台实时指令控制(开、关灯)功能,具有受控开关灯的功能，能根据控制中心或云平台发送的命令开关灯，所有控制操作均应实时向平台报告。（3）控制器需支持4G-Cat.1通信，能与路灯基站、控制中心或云平台进行双向通信。</w:t>
      </w:r>
    </w:p>
    <w:p w14:paraId="1AEA3D0F"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（4）应能按控制平台的远程控制命令执行灯具的开、关或调光控制操作，并实时回复平台。</w:t>
      </w:r>
    </w:p>
    <w:p w14:paraId="6F227535"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lastRenderedPageBreak/>
        <w:t>（5）具备运行参数（灯具参数、终端控制器参数，控制器通信参数、告警参数，地理位置参数等）配置功能，</w:t>
      </w:r>
      <w:r w:rsidRPr="003D5A0C">
        <w:rPr>
          <w:rFonts w:ascii="仿宋_GB2312" w:eastAsia="仿宋_GB2312" w:hAnsi="仿宋_GB2312" w:cs="仿宋_GB2312" w:hint="eastAsia"/>
          <w:color w:val="000000" w:themeColor="text1"/>
          <w:sz w:val="32"/>
          <w:szCs w:val="32"/>
        </w:rPr>
        <w:t>配置参数应具备掉电保护功能。</w:t>
      </w:r>
    </w:p>
    <w:p w14:paraId="4339A7FE"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kern w:val="0"/>
          <w:sz w:val="32"/>
          <w:szCs w:val="32"/>
        </w:rPr>
        <w:t>（6）</w:t>
      </w:r>
      <w:r w:rsidRPr="003D5A0C">
        <w:rPr>
          <w:rFonts w:ascii="仿宋_GB2312" w:eastAsia="仿宋_GB2312" w:hAnsi="仿宋_GB2312" w:cs="仿宋_GB2312" w:hint="eastAsia"/>
          <w:color w:val="000000" w:themeColor="text1"/>
          <w:sz w:val="32"/>
          <w:szCs w:val="32"/>
        </w:rPr>
        <w:t>具有路灯运行数据的实时采集功能，数据内容包括灯具功率、电流、电压、功率因数等。</w:t>
      </w:r>
    </w:p>
    <w:p w14:paraId="784F52EF"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sz w:val="32"/>
          <w:szCs w:val="32"/>
        </w:rPr>
      </w:pPr>
      <w:r w:rsidRPr="003D5A0C">
        <w:rPr>
          <w:rFonts w:ascii="仿宋_GB2312" w:eastAsia="仿宋_GB2312" w:hAnsi="仿宋_GB2312" w:cs="仿宋_GB2312" w:hint="eastAsia"/>
          <w:color w:val="000000" w:themeColor="text1"/>
          <w:sz w:val="32"/>
          <w:szCs w:val="32"/>
        </w:rPr>
        <w:t>（7）根据通信协议设定的各种事件的报警阈值，单灯控制器应主动实时监测和分析，支持（灯头）电压、电流、有功功率、无功功率、功率因数的实时监测，发生事件应向平台实时上报；事件包括异常开关灯、电压/电流超限、灯具故障、电容故障、灯杆漏电等异常事件。</w:t>
      </w:r>
    </w:p>
    <w:p w14:paraId="5651001F" w14:textId="77777777" w:rsidR="00FB3D95" w:rsidRPr="003D5A0C" w:rsidRDefault="00000000">
      <w:pPr>
        <w:snapToGrid w:val="0"/>
        <w:spacing w:line="570" w:lineRule="exact"/>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（8）应具备自测试、自诊断功能，在出现软件故障时，控制器应能自主完成复位并工作。</w:t>
      </w:r>
    </w:p>
    <w:p w14:paraId="00C72B46"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（9）应能够随时接收平台远程查询和控制，并实时给出响应。</w:t>
      </w:r>
    </w:p>
    <w:p w14:paraId="6C85C330" w14:textId="77777777" w:rsidR="00FB3D95" w:rsidRPr="003D5A0C" w:rsidRDefault="00000000">
      <w:pPr>
        <w:snapToGrid w:val="0"/>
        <w:spacing w:line="570" w:lineRule="exact"/>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（10）应具备接受初始化命令后重置设备的功能；具有根据控制中心发送的校时命令校正时间的功能。</w:t>
      </w:r>
    </w:p>
    <w:p w14:paraId="13664362"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（11）应具备程序远程升级能力，可通过平台实现软件远程可控、安全授权升级。</w:t>
      </w:r>
    </w:p>
    <w:p w14:paraId="75847C20"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（12）管辖多套灯具的单灯控制器应具备可实现单套灯具的故障报警功能。</w:t>
      </w:r>
    </w:p>
    <w:p w14:paraId="0E8DEBE0"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4.2调光功能</w:t>
      </w:r>
    </w:p>
    <w:p w14:paraId="4AF13CF5" w14:textId="77777777" w:rsidR="00FB3D95" w:rsidRPr="003D5A0C" w:rsidRDefault="00000000">
      <w:pPr>
        <w:snapToGrid w:val="0"/>
        <w:spacing w:line="570" w:lineRule="exact"/>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（1）应具有对所管辖的照明灯具进行按配置自主控制</w:t>
      </w:r>
      <w:r w:rsidRPr="003D5A0C">
        <w:rPr>
          <w:rFonts w:ascii="仿宋_GB2312" w:eastAsia="仿宋_GB2312" w:hAnsi="仿宋_GB2312" w:cs="仿宋_GB2312" w:hint="eastAsia"/>
          <w:color w:val="000000" w:themeColor="text1"/>
          <w:kern w:val="0"/>
          <w:sz w:val="32"/>
          <w:szCs w:val="32"/>
        </w:rPr>
        <w:lastRenderedPageBreak/>
        <w:t>（初始调光、周期性按需调光）功能和平台实时指令控制(调光)功能，支持（灯头）0-10V或DALI数字等调光控制，能根据控制中心发送的调光命令对LED路灯进行无级调光控制。所有控制操作均需实时向平台报告。</w:t>
      </w:r>
    </w:p>
    <w:p w14:paraId="7803CBBD"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（2）单灯控制器在得电运行后，应自动执行初始化工作，并按配置对灯具执行初始调光。</w:t>
      </w:r>
    </w:p>
    <w:p w14:paraId="6E3B2E71"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（3）调光方式可采用0-10V模拟或DALI数字等调光方式，具备接收调光命令进行调光和根据查询命令反馈相关电气参数的功能，响应时间应不大于5s。</w:t>
      </w:r>
    </w:p>
    <w:p w14:paraId="53AB4394"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4.3漏电监测功能</w:t>
      </w:r>
    </w:p>
    <w:p w14:paraId="6C4259A4"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sz w:val="32"/>
          <w:szCs w:val="32"/>
        </w:rPr>
        <w:t>（1）应具备漏电流、漏电压等的监测功能。</w:t>
      </w:r>
    </w:p>
    <w:p w14:paraId="57379ED1"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b/>
          <w:color w:val="000000" w:themeColor="text1"/>
          <w:sz w:val="32"/>
          <w:szCs w:val="32"/>
        </w:rPr>
      </w:pPr>
      <w:r w:rsidRPr="003D5A0C">
        <w:rPr>
          <w:rFonts w:ascii="仿宋_GB2312" w:eastAsia="仿宋_GB2312" w:hAnsi="仿宋_GB2312" w:cs="仿宋_GB2312" w:hint="eastAsia"/>
          <w:color w:val="000000" w:themeColor="text1"/>
          <w:kern w:val="0"/>
          <w:sz w:val="32"/>
          <w:szCs w:val="32"/>
        </w:rPr>
        <w:t>（2）漏电监测单元应集成于单灯控制器中，不得设置外挂设备。</w:t>
      </w:r>
    </w:p>
    <w:p w14:paraId="49EBFE80" w14:textId="77777777" w:rsidR="00FB3D95" w:rsidRPr="003D5A0C" w:rsidRDefault="00000000">
      <w:pPr>
        <w:spacing w:line="360" w:lineRule="auto"/>
        <w:ind w:firstLineChars="200" w:firstLine="640"/>
        <w:rPr>
          <w:rFonts w:ascii="仿宋_GB2312" w:eastAsia="仿宋_GB2312" w:hAnsi="仿宋_GB2312" w:cs="仿宋_GB2312" w:hint="eastAsia"/>
          <w:bCs/>
          <w:color w:val="000000" w:themeColor="text1"/>
          <w:sz w:val="32"/>
          <w:szCs w:val="32"/>
        </w:rPr>
      </w:pPr>
      <w:r w:rsidRPr="003D5A0C">
        <w:rPr>
          <w:rFonts w:ascii="仿宋_GB2312" w:eastAsia="仿宋_GB2312" w:hAnsi="仿宋_GB2312" w:cs="仿宋_GB2312" w:hint="eastAsia"/>
          <w:bCs/>
          <w:color w:val="000000" w:themeColor="text1"/>
          <w:sz w:val="32"/>
          <w:szCs w:val="32"/>
        </w:rPr>
        <w:t>5.安装要求</w:t>
      </w:r>
    </w:p>
    <w:p w14:paraId="59247A87"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bookmarkStart w:id="8" w:name="_Hlk14101029"/>
      <w:r w:rsidRPr="003D5A0C">
        <w:rPr>
          <w:rFonts w:ascii="仿宋_GB2312" w:eastAsia="仿宋_GB2312" w:hAnsi="仿宋_GB2312" w:cs="仿宋_GB2312" w:hint="eastAsia"/>
          <w:color w:val="000000" w:themeColor="text1"/>
          <w:kern w:val="0"/>
          <w:sz w:val="32"/>
          <w:szCs w:val="32"/>
        </w:rPr>
        <w:t>5.1单灯控制器及熔断器应能在配电面板上安装，具体安装方案需经招标人确认后方可实施。</w:t>
      </w:r>
      <w:bookmarkEnd w:id="8"/>
    </w:p>
    <w:p w14:paraId="5892769A" w14:textId="77777777" w:rsidR="00FB3D95" w:rsidRPr="003D5A0C" w:rsidRDefault="00000000">
      <w:pPr>
        <w:widowControl/>
        <w:spacing w:line="360" w:lineRule="auto"/>
        <w:ind w:firstLineChars="200" w:firstLine="640"/>
        <w:jc w:val="left"/>
        <w:rPr>
          <w:rFonts w:ascii="仿宋_GB2312" w:eastAsia="仿宋_GB2312" w:hAnsi="仿宋_GB2312" w:cs="仿宋_GB2312" w:hint="eastAsia"/>
          <w:color w:val="000000" w:themeColor="text1"/>
          <w:kern w:val="0"/>
          <w:sz w:val="32"/>
          <w:szCs w:val="32"/>
        </w:rPr>
      </w:pPr>
      <w:r w:rsidRPr="003D5A0C">
        <w:rPr>
          <w:rFonts w:ascii="仿宋_GB2312" w:eastAsia="仿宋_GB2312" w:hAnsi="仿宋_GB2312" w:cs="仿宋_GB2312" w:hint="eastAsia"/>
          <w:color w:val="000000" w:themeColor="text1"/>
          <w:kern w:val="0"/>
          <w:sz w:val="32"/>
          <w:szCs w:val="32"/>
        </w:rPr>
        <w:t>5.2安装有单灯控制器、熔断器及其他必备附件的配电面板应能在现有灯杆或接线箱检修孔内安装，灯杆及或接线箱检修孔尺寸参考《城市照明图集》（苏Z02-2014）。</w:t>
      </w:r>
    </w:p>
    <w:p w14:paraId="5B3D71C6" w14:textId="77777777" w:rsidR="00FB3D95" w:rsidRDefault="00000000">
      <w:pPr>
        <w:ind w:firstLineChars="200" w:firstLine="640"/>
        <w:rPr>
          <w:color w:val="000000" w:themeColor="text1"/>
        </w:rPr>
      </w:pPr>
      <w:r w:rsidRPr="003D5A0C">
        <w:rPr>
          <w:rFonts w:ascii="仿宋_GB2312" w:eastAsia="仿宋_GB2312" w:hAnsi="仿宋_GB2312" w:cs="仿宋_GB2312" w:hint="eastAsia"/>
          <w:color w:val="000000" w:themeColor="text1"/>
          <w:kern w:val="0"/>
          <w:sz w:val="32"/>
          <w:szCs w:val="32"/>
        </w:rPr>
        <w:t>5.3单灯控制器的扫码入库相关工作由招标人完成，中标人做好必要的配合工作。</w:t>
      </w:r>
    </w:p>
    <w:sectPr w:rsidR="00FB3D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EB96E" w14:textId="77777777" w:rsidR="009F5EA1" w:rsidRDefault="009F5EA1" w:rsidP="00992371">
      <w:r>
        <w:separator/>
      </w:r>
    </w:p>
  </w:endnote>
  <w:endnote w:type="continuationSeparator" w:id="0">
    <w:p w14:paraId="5C76EB5E" w14:textId="77777777" w:rsidR="009F5EA1" w:rsidRDefault="009F5EA1" w:rsidP="00992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6DE077C-7BAB-4945-88D8-504FE488AF6C}"/>
    <w:embedBold r:id="rId2" w:fontKey="{2C4DF3E0-9333-4995-851A-B9E4550FB782}"/>
  </w:font>
  <w:font w:name="Calibri">
    <w:panose1 w:val="020F0502020204030204"/>
    <w:charset w:val="00"/>
    <w:family w:val="swiss"/>
    <w:pitch w:val="variable"/>
    <w:sig w:usb0="E4002EFF" w:usb1="C000247B" w:usb2="00000009" w:usb3="00000000" w:csb0="000001FF" w:csb1="00000000"/>
    <w:embedRegular r:id="rId3" w:fontKey="{E5806B39-B5EA-4290-A389-3DF512FFA602}"/>
    <w:embedBold r:id="rId4" w:fontKey="{CD1121B5-C71F-4632-BFFC-7BCADBF745BE}"/>
  </w:font>
  <w:font w:name="宋体">
    <w:altName w:val="SimSun"/>
    <w:panose1 w:val="02010600030101010101"/>
    <w:charset w:val="86"/>
    <w:family w:val="auto"/>
    <w:pitch w:val="variable"/>
    <w:sig w:usb0="00000203" w:usb1="288F0000" w:usb2="00000016" w:usb3="00000000" w:csb0="00040001" w:csb1="00000000"/>
    <w:embedRegular r:id="rId5" w:subsetted="1" w:fontKey="{C4DBA32C-AB0D-4139-A10E-B45EBE36C013}"/>
  </w:font>
  <w:font w:name="Arial">
    <w:panose1 w:val="020B0604020202020204"/>
    <w:charset w:val="00"/>
    <w:family w:val="swiss"/>
    <w:pitch w:val="variable"/>
    <w:sig w:usb0="E0002EFF" w:usb1="C000785B" w:usb2="00000009" w:usb3="00000000" w:csb0="000001FF" w:csb1="00000000"/>
    <w:embedRegular r:id="rId6" w:fontKey="{9AD90109-5B96-4B74-9343-2FF0125C2AC4}"/>
    <w:embedBold r:id="rId7" w:fontKey="{6C0EE875-247D-4BA4-97CC-D8624082C5A1}"/>
  </w:font>
  <w:font w:name="黑体">
    <w:altName w:val="SimHei"/>
    <w:panose1 w:val="02010609060101010101"/>
    <w:charset w:val="86"/>
    <w:family w:val="modern"/>
    <w:pitch w:val="fixed"/>
    <w:sig w:usb0="800002BF" w:usb1="38CF7CFA" w:usb2="00000016" w:usb3="00000000" w:csb0="00040001" w:csb1="00000000"/>
    <w:embedRegular r:id="rId8" w:subsetted="1" w:fontKey="{D667C774-15C5-4B92-AF31-43D649085765}"/>
  </w:font>
  <w:font w:name="方正小标宋简体">
    <w:panose1 w:val="02000000000000000000"/>
    <w:charset w:val="86"/>
    <w:family w:val="auto"/>
    <w:pitch w:val="variable"/>
    <w:sig w:usb0="A00002BF" w:usb1="184F6CFA" w:usb2="00000012" w:usb3="00000000" w:csb0="00040001" w:csb1="00000000"/>
    <w:embedRegular r:id="rId9" w:subsetted="1" w:fontKey="{814C4FA5-491C-457B-96F5-CC941B3E1127}"/>
  </w:font>
  <w:font w:name="仿宋_GB2312">
    <w:altName w:val="仿宋"/>
    <w:charset w:val="86"/>
    <w:family w:val="modern"/>
    <w:pitch w:val="default"/>
    <w:sig w:usb0="00000001" w:usb1="080E0000" w:usb2="00000000" w:usb3="00000000" w:csb0="00040000" w:csb1="00000000"/>
    <w:embedRegular r:id="rId10" w:subsetted="1" w:fontKey="{C420D1B8-AFA8-47CE-9D35-A19F2F83495E}"/>
  </w:font>
  <w:font w:name="微软雅黑">
    <w:panose1 w:val="020B0503020204020204"/>
    <w:charset w:val="86"/>
    <w:family w:val="swiss"/>
    <w:pitch w:val="variable"/>
    <w:sig w:usb0="80000287" w:usb1="2ACF3C50" w:usb2="00000016" w:usb3="00000000" w:csb0="0004001F" w:csb1="00000000"/>
    <w:embedRegular r:id="rId11" w:subsetted="1" w:fontKey="{65A50720-53DB-4962-9BA0-7A6E27CD2AC7}"/>
  </w:font>
  <w:font w:name="楷体">
    <w:panose1 w:val="02010609060101010101"/>
    <w:charset w:val="86"/>
    <w:family w:val="modern"/>
    <w:pitch w:val="fixed"/>
    <w:sig w:usb0="800002BF" w:usb1="38CF7CFA" w:usb2="00000016" w:usb3="00000000" w:csb0="00040001" w:csb1="00000000"/>
    <w:embedRegular r:id="rId12" w:subsetted="1" w:fontKey="{30B10760-6F82-4D9D-B5A9-9087328A26AA}"/>
  </w:font>
  <w:font w:name="Calibri Light">
    <w:panose1 w:val="020F0302020204030204"/>
    <w:charset w:val="00"/>
    <w:family w:val="swiss"/>
    <w:pitch w:val="variable"/>
    <w:sig w:usb0="E4002EFF" w:usb1="C000247B" w:usb2="00000009" w:usb3="00000000" w:csb0="000001FF" w:csb1="00000000"/>
    <w:embedRegular r:id="rId13" w:fontKey="{EDCBB50C-2570-49C6-ADAF-68FA0E09FFE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4D3ED" w14:textId="77777777" w:rsidR="009F5EA1" w:rsidRDefault="009F5EA1" w:rsidP="00992371">
      <w:r>
        <w:separator/>
      </w:r>
    </w:p>
  </w:footnote>
  <w:footnote w:type="continuationSeparator" w:id="0">
    <w:p w14:paraId="60066103" w14:textId="77777777" w:rsidR="009F5EA1" w:rsidRDefault="009F5EA1" w:rsidP="00992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99C6EF"/>
    <w:multiLevelType w:val="singleLevel"/>
    <w:tmpl w:val="BB99C6EF"/>
    <w:lvl w:ilvl="0">
      <w:start w:val="1"/>
      <w:numFmt w:val="chineseCounting"/>
      <w:suff w:val="nothing"/>
      <w:lvlText w:val="（%1）"/>
      <w:lvlJc w:val="left"/>
      <w:rPr>
        <w:rFonts w:hint="eastAsia"/>
      </w:rPr>
    </w:lvl>
  </w:abstractNum>
  <w:num w:numId="1" w16cid:durableId="17381691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MxYWIzZTk5ZDY3MTFiYjEzNmNmY2IyYzMyMjMwYTEifQ=="/>
  </w:docVars>
  <w:rsids>
    <w:rsidRoot w:val="00FB3D95"/>
    <w:rsid w:val="00263CA9"/>
    <w:rsid w:val="003D5A0C"/>
    <w:rsid w:val="004C446D"/>
    <w:rsid w:val="005A3AC5"/>
    <w:rsid w:val="008F4BEB"/>
    <w:rsid w:val="00992371"/>
    <w:rsid w:val="009C3A80"/>
    <w:rsid w:val="009F5EA1"/>
    <w:rsid w:val="00AA2693"/>
    <w:rsid w:val="00BE06AA"/>
    <w:rsid w:val="00CC754C"/>
    <w:rsid w:val="00E54033"/>
    <w:rsid w:val="00EA13A1"/>
    <w:rsid w:val="00FB3D95"/>
    <w:rsid w:val="03A83F55"/>
    <w:rsid w:val="43FC1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8E445C"/>
  <w15:docId w15:val="{457BFEC2-BD1D-485D-A433-9765516EB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szCs w:val="20"/>
    </w:r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character" w:customStyle="1" w:styleId="2Char1">
    <w:name w:val="标题 2 Char1"/>
    <w:qFormat/>
    <w:rPr>
      <w:rFonts w:ascii="Arial" w:eastAsia="黑体" w:hAnsi="Arial"/>
      <w:b/>
      <w:kern w:val="2"/>
      <w:sz w:val="32"/>
      <w:lang w:val="en-US" w:eastAsia="zh-CN" w:bidi="ar-SA"/>
    </w:rPr>
  </w:style>
  <w:style w:type="paragraph" w:styleId="a4">
    <w:name w:val="header"/>
    <w:basedOn w:val="a"/>
    <w:link w:val="a5"/>
    <w:rsid w:val="00992371"/>
    <w:pPr>
      <w:tabs>
        <w:tab w:val="center" w:pos="4153"/>
        <w:tab w:val="right" w:pos="8306"/>
      </w:tabs>
      <w:snapToGrid w:val="0"/>
      <w:jc w:val="center"/>
    </w:pPr>
    <w:rPr>
      <w:sz w:val="18"/>
      <w:szCs w:val="18"/>
    </w:rPr>
  </w:style>
  <w:style w:type="character" w:customStyle="1" w:styleId="a5">
    <w:name w:val="页眉 字符"/>
    <w:basedOn w:val="a0"/>
    <w:link w:val="a4"/>
    <w:rsid w:val="00992371"/>
    <w:rPr>
      <w:rFonts w:ascii="Times New Roman" w:eastAsia="宋体" w:hAnsi="Times New Roman" w:cs="Times New Roman"/>
      <w:kern w:val="2"/>
      <w:sz w:val="18"/>
      <w:szCs w:val="18"/>
    </w:rPr>
  </w:style>
  <w:style w:type="paragraph" w:styleId="a6">
    <w:name w:val="footer"/>
    <w:basedOn w:val="a"/>
    <w:link w:val="a7"/>
    <w:rsid w:val="00992371"/>
    <w:pPr>
      <w:tabs>
        <w:tab w:val="center" w:pos="4153"/>
        <w:tab w:val="right" w:pos="8306"/>
      </w:tabs>
      <w:snapToGrid w:val="0"/>
      <w:jc w:val="left"/>
    </w:pPr>
    <w:rPr>
      <w:sz w:val="18"/>
      <w:szCs w:val="18"/>
    </w:rPr>
  </w:style>
  <w:style w:type="character" w:customStyle="1" w:styleId="a7">
    <w:name w:val="页脚 字符"/>
    <w:basedOn w:val="a0"/>
    <w:link w:val="a6"/>
    <w:rsid w:val="00992371"/>
    <w:rPr>
      <w:rFonts w:ascii="Times New Roman" w:eastAsia="宋体" w:hAnsi="Times New Roman"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1866</Words>
  <Characters>2073</Characters>
  <Application>Microsoft Office Word</Application>
  <DocSecurity>0</DocSecurity>
  <Lines>115</Lines>
  <Paragraphs>109</Paragraphs>
  <ScaleCrop>false</ScaleCrop>
  <Company/>
  <LinksUpToDate>false</LinksUpToDate>
  <CharactersWithSpaces>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张媛</cp:lastModifiedBy>
  <cp:revision>11</cp:revision>
  <cp:lastPrinted>2024-08-20T06:41:00Z</cp:lastPrinted>
  <dcterms:created xsi:type="dcterms:W3CDTF">2024-08-20T06:33:00Z</dcterms:created>
  <dcterms:modified xsi:type="dcterms:W3CDTF">2025-06-20T02:38:00Z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72E85EE1C4884347B2F7A687E4605A7B_12</vt:lpwstr>
  </property>
  <property fmtid="{D5CDD505-2E9C-101B-9397-08002B2CF9AE}" pid="4" name="KSOTemplateDocerSaveRecord">
    <vt:lpwstr>eyJoZGlkIjoiZjIxYzg5YmQ0ZTA2YjM0YTgzZDI5YTYxYmQ5MmQyMzAiLCJ1c2VySWQiOiIxNDQ2MzgyMjY2In0=</vt:lpwstr>
  </property>
</Properties>
</file>